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1"/>
        <w:gridCol w:w="524"/>
        <w:gridCol w:w="6111"/>
        <w:gridCol w:w="6111"/>
        <w:gridCol w:w="525"/>
      </w:tblGrid>
      <w:tr w:rsidR="00F3160B" w:rsidRPr="006925C7" w14:paraId="4042BB28" w14:textId="4F623CAC" w:rsidTr="008643B7">
        <w:tc>
          <w:tcPr>
            <w:tcW w:w="1905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32E8B87A" w14:textId="77777777" w:rsidR="00F3160B" w:rsidRPr="006925C7" w:rsidRDefault="00F3160B" w:rsidP="00A166B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 xml:space="preserve"> 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>Kenmerk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B80526"/>
          </w:tcPr>
          <w:p w14:paraId="06776573" w14:textId="3BD18A7D" w:rsidR="00F3160B" w:rsidRDefault="00F3160B" w:rsidP="00A166B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-</w:t>
            </w:r>
          </w:p>
        </w:tc>
        <w:tc>
          <w:tcPr>
            <w:tcW w:w="6158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22AEA336" w14:textId="2C424C57" w:rsidR="00F3160B" w:rsidRPr="006925C7" w:rsidRDefault="00F3160B" w:rsidP="00A166B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 xml:space="preserve">AFDELINGSMANAGER 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>I</w:t>
            </w:r>
          </w:p>
        </w:tc>
        <w:tc>
          <w:tcPr>
            <w:tcW w:w="6158" w:type="dxa"/>
            <w:tcBorders>
              <w:bottom w:val="single" w:sz="4" w:space="0" w:color="auto"/>
            </w:tcBorders>
            <w:shd w:val="clear" w:color="auto" w:fill="B80526"/>
          </w:tcPr>
          <w:p w14:paraId="3F216B03" w14:textId="4B7B4A33" w:rsidR="00F3160B" w:rsidRDefault="00F3160B" w:rsidP="00A166B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AFDELINGSMANAGER II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B80526"/>
          </w:tcPr>
          <w:p w14:paraId="06BE7864" w14:textId="70BAB5E6" w:rsidR="00F3160B" w:rsidRDefault="00F3160B" w:rsidP="00A166B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+</w:t>
            </w:r>
          </w:p>
        </w:tc>
      </w:tr>
      <w:tr w:rsidR="00F3160B" w:rsidRPr="004C3EC4" w14:paraId="037D5034" w14:textId="541D4900" w:rsidTr="008643B7">
        <w:tc>
          <w:tcPr>
            <w:tcW w:w="1905" w:type="dxa"/>
            <w:shd w:val="clear" w:color="auto" w:fill="auto"/>
          </w:tcPr>
          <w:p w14:paraId="46745927" w14:textId="1F97AC0C" w:rsidR="00F3160B" w:rsidRPr="00521AEC" w:rsidRDefault="00F3160B" w:rsidP="00A166B6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Aard van leidinggeven</w:t>
            </w:r>
          </w:p>
        </w:tc>
        <w:tc>
          <w:tcPr>
            <w:tcW w:w="527" w:type="dxa"/>
            <w:vMerge w:val="restart"/>
            <w:textDirection w:val="tbRlV"/>
          </w:tcPr>
          <w:p w14:paraId="795B3F51" w14:textId="6421784B" w:rsidR="00F3160B" w:rsidRDefault="00F3160B" w:rsidP="00F3160B">
            <w:pPr>
              <w:spacing w:line="240" w:lineRule="auto"/>
              <w:ind w:left="113" w:right="113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Zie referentiefunctie en NOK-bijlage teamleider</w:t>
            </w:r>
          </w:p>
        </w:tc>
        <w:tc>
          <w:tcPr>
            <w:tcW w:w="6158" w:type="dxa"/>
            <w:tcMar>
              <w:top w:w="57" w:type="dxa"/>
              <w:bottom w:w="57" w:type="dxa"/>
            </w:tcMar>
          </w:tcPr>
          <w:p w14:paraId="15306DE3" w14:textId="2D7B96F7" w:rsidR="00F3160B" w:rsidRPr="00A104DC" w:rsidRDefault="00F3160B" w:rsidP="00A104DC">
            <w:pPr>
              <w:spacing w:line="240" w:lineRule="auto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H</w:t>
            </w:r>
            <w:r w:rsidRPr="00A104DC">
              <w:rPr>
                <w:color w:val="auto"/>
                <w:sz w:val="16"/>
              </w:rPr>
              <w:t xml:space="preserve">iërarchisch leidinggeven aan </w:t>
            </w:r>
            <w:r w:rsidRPr="00A104DC">
              <w:rPr>
                <w:color w:val="auto"/>
                <w:sz w:val="16"/>
                <w:lang w:bidi="x-none"/>
              </w:rPr>
              <w:t xml:space="preserve">± </w:t>
            </w:r>
            <w:r w:rsidRPr="00A104DC">
              <w:rPr>
                <w:color w:val="auto"/>
                <w:sz w:val="16"/>
              </w:rPr>
              <w:t>20</w:t>
            </w:r>
            <w:r>
              <w:rPr>
                <w:color w:val="auto"/>
                <w:sz w:val="16"/>
              </w:rPr>
              <w:t xml:space="preserve"> medewerkers.</w:t>
            </w:r>
          </w:p>
          <w:p w14:paraId="712D33B7" w14:textId="560CE6CB" w:rsidR="00F3160B" w:rsidRPr="00A104DC" w:rsidRDefault="00F3160B" w:rsidP="00A104DC">
            <w:pPr>
              <w:spacing w:line="240" w:lineRule="auto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Directe aansturing van operationele medewerkers.</w:t>
            </w:r>
          </w:p>
          <w:p w14:paraId="09BA539E" w14:textId="770397DF" w:rsidR="00F3160B" w:rsidRPr="00000E55" w:rsidRDefault="00F3160B" w:rsidP="004D40FF">
            <w:pPr>
              <w:spacing w:line="240" w:lineRule="auto"/>
              <w:rPr>
                <w:color w:val="auto"/>
                <w:sz w:val="16"/>
                <w:highlight w:val="red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  <w:t>N</w:t>
            </w:r>
            <w:r>
              <w:rPr>
                <w:color w:val="auto"/>
                <w:sz w:val="16"/>
              </w:rPr>
              <w:t>adruk ligt op aansturen en afstemmen in de keten</w:t>
            </w:r>
            <w:r w:rsidRPr="0071329F">
              <w:rPr>
                <w:color w:val="auto"/>
                <w:sz w:val="16"/>
              </w:rPr>
              <w:t>.</w:t>
            </w:r>
          </w:p>
        </w:tc>
        <w:tc>
          <w:tcPr>
            <w:tcW w:w="6158" w:type="dxa"/>
          </w:tcPr>
          <w:p w14:paraId="33BB04E6" w14:textId="6DAD212A" w:rsidR="00F3160B" w:rsidRDefault="00F3160B" w:rsidP="004D40FF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  <w:t>H</w:t>
            </w:r>
            <w:r w:rsidRPr="0071329F">
              <w:rPr>
                <w:color w:val="auto"/>
                <w:sz w:val="16"/>
                <w:lang w:bidi="x-none"/>
              </w:rPr>
              <w:t xml:space="preserve">iërarchisch </w:t>
            </w:r>
            <w:r>
              <w:rPr>
                <w:color w:val="auto"/>
                <w:sz w:val="16"/>
                <w:lang w:bidi="x-none"/>
              </w:rPr>
              <w:t xml:space="preserve">leidinggeven aan ca. 40 </w:t>
            </w:r>
            <w:r w:rsidRPr="0071329F">
              <w:rPr>
                <w:color w:val="auto"/>
                <w:sz w:val="16"/>
                <w:lang w:bidi="x-none"/>
              </w:rPr>
              <w:t>medewerkers</w:t>
            </w:r>
            <w:r>
              <w:rPr>
                <w:color w:val="auto"/>
                <w:sz w:val="16"/>
                <w:lang w:bidi="x-none"/>
              </w:rPr>
              <w:t>.</w:t>
            </w:r>
          </w:p>
          <w:p w14:paraId="7CFD0598" w14:textId="67F8CAB5" w:rsidR="00F3160B" w:rsidRPr="0071329F" w:rsidRDefault="00F3160B" w:rsidP="004D40FF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  <w:t>Aansturing via voormannen.</w:t>
            </w:r>
          </w:p>
          <w:p w14:paraId="6966B89C" w14:textId="76DF6AD1" w:rsidR="00F3160B" w:rsidRPr="00000E55" w:rsidRDefault="00F3160B" w:rsidP="00DF79CB">
            <w:pPr>
              <w:spacing w:line="240" w:lineRule="auto"/>
              <w:ind w:left="284" w:hanging="284"/>
              <w:rPr>
                <w:color w:val="auto"/>
                <w:sz w:val="16"/>
                <w:highlight w:val="red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  <w:t>Idem I</w:t>
            </w:r>
            <w:r w:rsidRPr="0071329F">
              <w:rPr>
                <w:color w:val="auto"/>
                <w:sz w:val="16"/>
                <w:lang w:bidi="x-none"/>
              </w:rPr>
              <w:t>.</w:t>
            </w:r>
          </w:p>
        </w:tc>
        <w:tc>
          <w:tcPr>
            <w:tcW w:w="527" w:type="dxa"/>
            <w:vMerge w:val="restart"/>
            <w:textDirection w:val="tbRlV"/>
          </w:tcPr>
          <w:p w14:paraId="02867971" w14:textId="242559A5" w:rsidR="00F3160B" w:rsidRDefault="00F3160B" w:rsidP="008643B7">
            <w:pPr>
              <w:spacing w:line="240" w:lineRule="auto"/>
              <w:ind w:left="113" w:right="113"/>
              <w:jc w:val="center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Geen referentiefunctie beschikbaar</w:t>
            </w:r>
          </w:p>
        </w:tc>
      </w:tr>
      <w:tr w:rsidR="00F3160B" w:rsidRPr="004C3EC4" w14:paraId="15CE10D8" w14:textId="7BEDA1DD" w:rsidTr="008643B7">
        <w:tc>
          <w:tcPr>
            <w:tcW w:w="1905" w:type="dxa"/>
          </w:tcPr>
          <w:p w14:paraId="129D5DA1" w14:textId="2C51EBAB" w:rsidR="00F3160B" w:rsidRDefault="00F3160B" w:rsidP="00755377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Tijdshorizon</w:t>
            </w:r>
          </w:p>
        </w:tc>
        <w:tc>
          <w:tcPr>
            <w:tcW w:w="527" w:type="dxa"/>
            <w:vMerge/>
          </w:tcPr>
          <w:p w14:paraId="57664BCD" w14:textId="77777777" w:rsidR="00F3160B" w:rsidRDefault="00F3160B" w:rsidP="00A104DC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</w:tc>
        <w:tc>
          <w:tcPr>
            <w:tcW w:w="6158" w:type="dxa"/>
            <w:tcMar>
              <w:top w:w="57" w:type="dxa"/>
              <w:bottom w:w="57" w:type="dxa"/>
            </w:tcMar>
          </w:tcPr>
          <w:p w14:paraId="3A1DA31C" w14:textId="3C991278" w:rsidR="00F3160B" w:rsidRDefault="00F3160B" w:rsidP="00A104DC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  <w:t>Eén tot enkele maanden.</w:t>
            </w:r>
          </w:p>
        </w:tc>
        <w:tc>
          <w:tcPr>
            <w:tcW w:w="6158" w:type="dxa"/>
          </w:tcPr>
          <w:p w14:paraId="1E0736CD" w14:textId="581F1030" w:rsidR="00F3160B" w:rsidRDefault="00F3160B" w:rsidP="0049202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  <w:t>Lopende jaar.</w:t>
            </w:r>
          </w:p>
        </w:tc>
        <w:tc>
          <w:tcPr>
            <w:tcW w:w="527" w:type="dxa"/>
            <w:vMerge/>
          </w:tcPr>
          <w:p w14:paraId="666795DE" w14:textId="77777777" w:rsidR="00F3160B" w:rsidRDefault="00F3160B" w:rsidP="0049202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</w:tc>
      </w:tr>
      <w:tr w:rsidR="00F3160B" w:rsidRPr="004C3EC4" w14:paraId="61CB5448" w14:textId="2EED5CDC" w:rsidTr="008643B7">
        <w:tc>
          <w:tcPr>
            <w:tcW w:w="1905" w:type="dxa"/>
          </w:tcPr>
          <w:p w14:paraId="66983250" w14:textId="506D4418" w:rsidR="00F3160B" w:rsidRDefault="00F3160B" w:rsidP="00755377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Focus</w:t>
            </w:r>
          </w:p>
        </w:tc>
        <w:tc>
          <w:tcPr>
            <w:tcW w:w="527" w:type="dxa"/>
            <w:vMerge/>
          </w:tcPr>
          <w:p w14:paraId="0C6B0EAD" w14:textId="77777777" w:rsidR="00F3160B" w:rsidRDefault="00F3160B" w:rsidP="000D48D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</w:tc>
        <w:tc>
          <w:tcPr>
            <w:tcW w:w="6158" w:type="dxa"/>
            <w:tcMar>
              <w:top w:w="57" w:type="dxa"/>
              <w:bottom w:w="57" w:type="dxa"/>
            </w:tcMar>
          </w:tcPr>
          <w:p w14:paraId="77CF1D12" w14:textId="0A76D8E2" w:rsidR="00F3160B" w:rsidRDefault="00F3160B" w:rsidP="000D48D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  <w:t>Beheren en optimaliseren van het bestaande (processen, planning, procedures, middelen etc.).</w:t>
            </w:r>
          </w:p>
        </w:tc>
        <w:tc>
          <w:tcPr>
            <w:tcW w:w="6158" w:type="dxa"/>
          </w:tcPr>
          <w:p w14:paraId="5F9B3EF6" w14:textId="7A7161BF" w:rsidR="00F3160B" w:rsidRDefault="00F3160B" w:rsidP="00CA6DF1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  <w:t>Continu verbeteren, effectiviteits- en efficiencyverhoging (onder meer procesoptimalisatie), initiatief nemen tot en coördineren van onderzoek naar structurele problemen.</w:t>
            </w:r>
          </w:p>
        </w:tc>
        <w:tc>
          <w:tcPr>
            <w:tcW w:w="527" w:type="dxa"/>
            <w:vMerge/>
          </w:tcPr>
          <w:p w14:paraId="63103D62" w14:textId="77777777" w:rsidR="00F3160B" w:rsidRDefault="00F3160B" w:rsidP="00CA6DF1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</w:tc>
      </w:tr>
      <w:tr w:rsidR="00F3160B" w:rsidRPr="004C3EC4" w14:paraId="4810C57D" w14:textId="010FD42A" w:rsidTr="008643B7">
        <w:tc>
          <w:tcPr>
            <w:tcW w:w="1905" w:type="dxa"/>
          </w:tcPr>
          <w:p w14:paraId="293D565D" w14:textId="613535A7" w:rsidR="00F3160B" w:rsidRDefault="00F3160B" w:rsidP="00755377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Planvorming &amp; operationeel beleid</w:t>
            </w:r>
          </w:p>
        </w:tc>
        <w:tc>
          <w:tcPr>
            <w:tcW w:w="527" w:type="dxa"/>
            <w:vMerge/>
          </w:tcPr>
          <w:p w14:paraId="701176A4" w14:textId="77777777" w:rsidR="00F3160B" w:rsidRDefault="00F3160B" w:rsidP="00DA2271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</w:tc>
        <w:tc>
          <w:tcPr>
            <w:tcW w:w="6158" w:type="dxa"/>
            <w:tcMar>
              <w:top w:w="57" w:type="dxa"/>
              <w:bottom w:w="57" w:type="dxa"/>
            </w:tcMar>
          </w:tcPr>
          <w:p w14:paraId="3126F472" w14:textId="021EBBA6" w:rsidR="00F3160B" w:rsidRDefault="00F3160B" w:rsidP="00DA2271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  <w:t>Leveren van inbreng over plannen/beleid.</w:t>
            </w:r>
          </w:p>
        </w:tc>
        <w:tc>
          <w:tcPr>
            <w:tcW w:w="6158" w:type="dxa"/>
          </w:tcPr>
          <w:p w14:paraId="3E7C77E8" w14:textId="5BF49065" w:rsidR="00F3160B" w:rsidRDefault="00F3160B" w:rsidP="000D48D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  <w:t>Opstellen van plannen en beleid.</w:t>
            </w:r>
          </w:p>
        </w:tc>
        <w:tc>
          <w:tcPr>
            <w:tcW w:w="527" w:type="dxa"/>
            <w:vMerge/>
          </w:tcPr>
          <w:p w14:paraId="574AF086" w14:textId="77777777" w:rsidR="00F3160B" w:rsidRDefault="00F3160B" w:rsidP="000D48D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</w:tc>
      </w:tr>
      <w:tr w:rsidR="00F3160B" w:rsidRPr="004C3EC4" w14:paraId="2E3E446B" w14:textId="70FA3765" w:rsidTr="008643B7">
        <w:tc>
          <w:tcPr>
            <w:tcW w:w="1905" w:type="dxa"/>
          </w:tcPr>
          <w:p w14:paraId="3AEFCB50" w14:textId="3FBB9630" w:rsidR="00F3160B" w:rsidRDefault="00F3160B" w:rsidP="00755377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Aandachtsgebied</w:t>
            </w:r>
          </w:p>
        </w:tc>
        <w:tc>
          <w:tcPr>
            <w:tcW w:w="527" w:type="dxa"/>
            <w:vMerge/>
          </w:tcPr>
          <w:p w14:paraId="73CAF8B1" w14:textId="77777777" w:rsidR="00F3160B" w:rsidRDefault="00F3160B" w:rsidP="00A104DC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</w:tc>
        <w:tc>
          <w:tcPr>
            <w:tcW w:w="6158" w:type="dxa"/>
            <w:tcMar>
              <w:top w:w="57" w:type="dxa"/>
              <w:bottom w:w="57" w:type="dxa"/>
            </w:tcMar>
          </w:tcPr>
          <w:p w14:paraId="1C14F49E" w14:textId="69015947" w:rsidR="00F3160B" w:rsidRDefault="00F3160B" w:rsidP="00A104DC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 xml:space="preserve">- </w:t>
            </w:r>
            <w:r>
              <w:rPr>
                <w:color w:val="auto"/>
                <w:sz w:val="16"/>
                <w:lang w:bidi="x-none"/>
              </w:rPr>
              <w:tab/>
              <w:t>Gebruiker van het machinepark.</w:t>
            </w:r>
          </w:p>
          <w:p w14:paraId="1C579887" w14:textId="1A7D9891" w:rsidR="00F3160B" w:rsidRDefault="00F3160B" w:rsidP="00A104DC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</w:tc>
        <w:tc>
          <w:tcPr>
            <w:tcW w:w="6158" w:type="dxa"/>
          </w:tcPr>
          <w:p w14:paraId="67832C10" w14:textId="4D6D6A8D" w:rsidR="00F3160B" w:rsidRDefault="00F3160B" w:rsidP="00FB22EB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  <w:t>Verantwoordelijk voor de onderhoudsstaat, curatief en preventief onderhoud en onderhoudsplan van het machinepark. Deelnemen in uitbreidings- en verbeterinvesteringen.</w:t>
            </w:r>
          </w:p>
        </w:tc>
        <w:tc>
          <w:tcPr>
            <w:tcW w:w="527" w:type="dxa"/>
            <w:vMerge/>
          </w:tcPr>
          <w:p w14:paraId="4A2C0684" w14:textId="77777777" w:rsidR="00F3160B" w:rsidRDefault="00F3160B" w:rsidP="00FB22EB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</w:tc>
      </w:tr>
      <w:tr w:rsidR="00F3160B" w:rsidRPr="006925C7" w14:paraId="3A2DC93D" w14:textId="1602D44A" w:rsidTr="008643B7">
        <w:tc>
          <w:tcPr>
            <w:tcW w:w="1905" w:type="dxa"/>
            <w:shd w:val="clear" w:color="auto" w:fill="B80526"/>
            <w:tcMar>
              <w:top w:w="28" w:type="dxa"/>
              <w:bottom w:w="28" w:type="dxa"/>
            </w:tcMar>
          </w:tcPr>
          <w:p w14:paraId="44BEA4ED" w14:textId="4087FF13" w:rsidR="00F3160B" w:rsidRPr="006925C7" w:rsidRDefault="00F3160B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 w:rsidRPr="006925C7">
              <w:rPr>
                <w:b/>
                <w:color w:val="FFFFFF"/>
                <w:sz w:val="18"/>
                <w:lang w:bidi="x-none"/>
              </w:rPr>
              <w:t>Functiegroep</w:t>
            </w:r>
          </w:p>
        </w:tc>
        <w:tc>
          <w:tcPr>
            <w:tcW w:w="527" w:type="dxa"/>
            <w:shd w:val="clear" w:color="auto" w:fill="B80526"/>
          </w:tcPr>
          <w:p w14:paraId="222DA8AE" w14:textId="77777777" w:rsidR="00F3160B" w:rsidRDefault="00F3160B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</w:p>
        </w:tc>
        <w:tc>
          <w:tcPr>
            <w:tcW w:w="6158" w:type="dxa"/>
            <w:shd w:val="clear" w:color="auto" w:fill="B80526"/>
            <w:tcMar>
              <w:top w:w="28" w:type="dxa"/>
              <w:bottom w:w="28" w:type="dxa"/>
            </w:tcMar>
          </w:tcPr>
          <w:p w14:paraId="3DF19A42" w14:textId="4CB3A0D3" w:rsidR="00F3160B" w:rsidRPr="006925C7" w:rsidRDefault="00F3160B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9</w:t>
            </w:r>
          </w:p>
        </w:tc>
        <w:tc>
          <w:tcPr>
            <w:tcW w:w="6158" w:type="dxa"/>
            <w:shd w:val="clear" w:color="auto" w:fill="B80526"/>
          </w:tcPr>
          <w:p w14:paraId="5F255712" w14:textId="04242475" w:rsidR="00F3160B" w:rsidRPr="006925C7" w:rsidRDefault="00F3160B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10</w:t>
            </w:r>
          </w:p>
        </w:tc>
        <w:tc>
          <w:tcPr>
            <w:tcW w:w="527" w:type="dxa"/>
            <w:shd w:val="clear" w:color="auto" w:fill="B80526"/>
          </w:tcPr>
          <w:p w14:paraId="0596E8AA" w14:textId="77777777" w:rsidR="00F3160B" w:rsidRDefault="00F3160B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</w:p>
        </w:tc>
      </w:tr>
    </w:tbl>
    <w:p w14:paraId="098E0D1E" w14:textId="77777777" w:rsidR="00A166B6" w:rsidRPr="00000E55" w:rsidRDefault="00A166B6" w:rsidP="00AA570A">
      <w:pPr>
        <w:spacing w:line="240" w:lineRule="auto"/>
        <w:rPr>
          <w:color w:val="auto"/>
          <w:sz w:val="16"/>
        </w:rPr>
      </w:pPr>
    </w:p>
    <w:p w14:paraId="2999F737" w14:textId="77777777" w:rsidR="00000E55" w:rsidRPr="00000E55" w:rsidRDefault="00000E55" w:rsidP="00AA570A">
      <w:pPr>
        <w:spacing w:line="240" w:lineRule="auto"/>
        <w:rPr>
          <w:color w:val="auto"/>
          <w:sz w:val="16"/>
        </w:rPr>
      </w:pPr>
    </w:p>
    <w:sectPr w:rsidR="00000E55" w:rsidRPr="00000E55" w:rsidSect="00A166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C92CF" w14:textId="77777777" w:rsidR="00C01F9C" w:rsidRDefault="00C01F9C" w:rsidP="00000E55">
      <w:pPr>
        <w:spacing w:line="240" w:lineRule="auto"/>
      </w:pPr>
      <w:r>
        <w:separator/>
      </w:r>
    </w:p>
  </w:endnote>
  <w:endnote w:type="continuationSeparator" w:id="0">
    <w:p w14:paraId="114C92A6" w14:textId="77777777" w:rsidR="00C01F9C" w:rsidRDefault="00C01F9C" w:rsidP="00000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4EF18" w14:textId="77777777" w:rsidR="00C214A5" w:rsidRDefault="00C214A5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444AB" w14:textId="0EBFA227" w:rsidR="000F2307" w:rsidRPr="00000E55" w:rsidRDefault="00C214A5" w:rsidP="00920637">
    <w:pPr>
      <w:pStyle w:val="Voettekst"/>
      <w:tabs>
        <w:tab w:val="clear" w:pos="4153"/>
        <w:tab w:val="clear" w:pos="8306"/>
        <w:tab w:val="left" w:pos="3010"/>
        <w:tab w:val="right" w:pos="15309"/>
      </w:tabs>
      <w:jc w:val="left"/>
      <w:rPr>
        <w:rStyle w:val="Paginanummer"/>
        <w:color w:val="auto"/>
        <w:sz w:val="16"/>
      </w:rPr>
    </w:pPr>
    <w:r>
      <w:rPr>
        <w:color w:val="auto"/>
        <w:sz w:val="16"/>
      </w:rPr>
      <w:tab/>
    </w:r>
    <w:bookmarkStart w:id="0" w:name="_GoBack"/>
    <w:bookmarkEnd w:id="0"/>
    <w:r w:rsidR="000F2307">
      <w:rPr>
        <w:color w:val="auto"/>
        <w:sz w:val="16"/>
      </w:rPr>
      <w:tab/>
    </w:r>
    <w:r w:rsidR="000F2307" w:rsidRPr="00000E55">
      <w:rPr>
        <w:color w:val="auto"/>
        <w:sz w:val="16"/>
      </w:rPr>
      <w:t>Nivea</w:t>
    </w:r>
    <w:r w:rsidR="000F2307">
      <w:rPr>
        <w:color w:val="auto"/>
        <w:sz w:val="16"/>
      </w:rPr>
      <w:t>u onderscheidende kenmerken –</w:t>
    </w:r>
    <w:r w:rsidR="000F2307" w:rsidRPr="00000E55">
      <w:rPr>
        <w:color w:val="auto"/>
        <w:sz w:val="16"/>
      </w:rPr>
      <w:t xml:space="preserve"> </w:t>
    </w:r>
    <w:r w:rsidR="000F2307">
      <w:rPr>
        <w:color w:val="auto"/>
        <w:sz w:val="16"/>
      </w:rPr>
      <w:t>afdelingsmanager</w:t>
    </w:r>
    <w:r w:rsidR="000F2307" w:rsidRPr="00000E55">
      <w:rPr>
        <w:color w:val="auto"/>
        <w:sz w:val="16"/>
      </w:rPr>
      <w:t xml:space="preserve"> /</w:t>
    </w:r>
    <w:r w:rsidR="00404740">
      <w:rPr>
        <w:color w:val="auto"/>
        <w:sz w:val="16"/>
      </w:rPr>
      <w:t xml:space="preserve"> </w:t>
    </w:r>
    <w:r w:rsidR="000F2307" w:rsidRPr="00000E55">
      <w:rPr>
        <w:rStyle w:val="Paginanummer"/>
        <w:color w:val="auto"/>
        <w:sz w:val="16"/>
      </w:rPr>
      <w:fldChar w:fldCharType="begin"/>
    </w:r>
    <w:r w:rsidR="000F2307" w:rsidRPr="00000E55">
      <w:rPr>
        <w:rStyle w:val="Paginanummer"/>
        <w:color w:val="auto"/>
        <w:sz w:val="16"/>
      </w:rPr>
      <w:instrText xml:space="preserve"> PAGE </w:instrText>
    </w:r>
    <w:r w:rsidR="000F2307" w:rsidRPr="00000E55">
      <w:rPr>
        <w:rStyle w:val="Paginanummer"/>
        <w:color w:val="auto"/>
        <w:sz w:val="16"/>
      </w:rPr>
      <w:fldChar w:fldCharType="separate"/>
    </w:r>
    <w:r>
      <w:rPr>
        <w:rStyle w:val="Paginanummer"/>
        <w:noProof/>
        <w:color w:val="auto"/>
        <w:sz w:val="16"/>
      </w:rPr>
      <w:t>1</w:t>
    </w:r>
    <w:r w:rsidR="000F2307" w:rsidRPr="00000E55">
      <w:rPr>
        <w:rStyle w:val="Paginanummer"/>
        <w:color w:val="auto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A8932" w14:textId="77777777" w:rsidR="00C214A5" w:rsidRDefault="00C214A5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9F7F8" w14:textId="77777777" w:rsidR="00C01F9C" w:rsidRDefault="00C01F9C" w:rsidP="00000E55">
      <w:pPr>
        <w:spacing w:line="240" w:lineRule="auto"/>
      </w:pPr>
      <w:r>
        <w:separator/>
      </w:r>
    </w:p>
  </w:footnote>
  <w:footnote w:type="continuationSeparator" w:id="0">
    <w:p w14:paraId="03673CCA" w14:textId="77777777" w:rsidR="00C01F9C" w:rsidRDefault="00C01F9C" w:rsidP="00000E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9E5FE" w14:textId="77777777" w:rsidR="00C214A5" w:rsidRDefault="00C214A5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34AC3" w14:textId="203A8801" w:rsidR="000F2307" w:rsidRPr="00000E55" w:rsidRDefault="000F2307" w:rsidP="00A166B6">
    <w:pPr>
      <w:pStyle w:val="Koptekst"/>
      <w:tabs>
        <w:tab w:val="clear" w:pos="4153"/>
        <w:tab w:val="clear" w:pos="8306"/>
        <w:tab w:val="center" w:pos="8364"/>
        <w:tab w:val="right" w:pos="15168"/>
      </w:tabs>
      <w:spacing w:line="200" w:lineRule="atLeast"/>
      <w:ind w:right="-32"/>
      <w:jc w:val="left"/>
      <w:rPr>
        <w:color w:val="auto"/>
        <w:lang w:val="en-US" w:eastAsia="nl-NL"/>
      </w:rPr>
    </w:pPr>
    <w:r w:rsidRPr="00000E55">
      <w:rPr>
        <w:color w:val="auto"/>
      </w:rPr>
      <w:t>Niveau onderscheidende kenmerken</w:t>
    </w:r>
    <w:r w:rsidRPr="00000E55">
      <w:rPr>
        <w:caps/>
        <w:color w:val="auto"/>
      </w:rPr>
      <w:t xml:space="preserve"> (nok) – </w:t>
    </w:r>
    <w:r>
      <w:rPr>
        <w:caps/>
        <w:color w:val="auto"/>
      </w:rPr>
      <w:t>afdelingsmanager</w:t>
    </w:r>
    <w:r w:rsidRPr="00000E55">
      <w:rPr>
        <w:caps/>
        <w:color w:val="auto"/>
      </w:rPr>
      <w:tab/>
    </w:r>
    <w:r w:rsidRPr="00000E55">
      <w:rPr>
        <w:caps/>
        <w:color w:val="auto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72A48" w14:textId="77777777" w:rsidR="00C214A5" w:rsidRDefault="00C214A5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D5DE0"/>
    <w:multiLevelType w:val="hybridMultilevel"/>
    <w:tmpl w:val="FBA6D1A2"/>
    <w:lvl w:ilvl="0" w:tplc="F912E0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F4C174D"/>
    <w:multiLevelType w:val="hybridMultilevel"/>
    <w:tmpl w:val="53D8E2AC"/>
    <w:lvl w:ilvl="0" w:tplc="A532184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D3139"/>
    <w:multiLevelType w:val="hybridMultilevel"/>
    <w:tmpl w:val="5978DC22"/>
    <w:lvl w:ilvl="0" w:tplc="721048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D57F7D"/>
    <w:multiLevelType w:val="hybridMultilevel"/>
    <w:tmpl w:val="7F0ECAD4"/>
    <w:lvl w:ilvl="0" w:tplc="35428F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E7012"/>
    <w:multiLevelType w:val="hybridMultilevel"/>
    <w:tmpl w:val="7BF49EF0"/>
    <w:lvl w:ilvl="0" w:tplc="ED00D83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25"/>
    <w:rsid w:val="00000E55"/>
    <w:rsid w:val="0003367F"/>
    <w:rsid w:val="00096618"/>
    <w:rsid w:val="000A552B"/>
    <w:rsid w:val="000D48D5"/>
    <w:rsid w:val="000F1094"/>
    <w:rsid w:val="000F2307"/>
    <w:rsid w:val="00143564"/>
    <w:rsid w:val="0016116B"/>
    <w:rsid w:val="001F0465"/>
    <w:rsid w:val="00256AD1"/>
    <w:rsid w:val="0026005D"/>
    <w:rsid w:val="002B121C"/>
    <w:rsid w:val="002B3C7B"/>
    <w:rsid w:val="002D343F"/>
    <w:rsid w:val="00302CD0"/>
    <w:rsid w:val="00382DF5"/>
    <w:rsid w:val="003B7B8C"/>
    <w:rsid w:val="003D0A9B"/>
    <w:rsid w:val="003D5E8F"/>
    <w:rsid w:val="003F0B83"/>
    <w:rsid w:val="00404740"/>
    <w:rsid w:val="004260D8"/>
    <w:rsid w:val="00474625"/>
    <w:rsid w:val="00492025"/>
    <w:rsid w:val="004C3853"/>
    <w:rsid w:val="004C4604"/>
    <w:rsid w:val="004C4C68"/>
    <w:rsid w:val="004D03F1"/>
    <w:rsid w:val="004D40FF"/>
    <w:rsid w:val="004D56EB"/>
    <w:rsid w:val="005316AA"/>
    <w:rsid w:val="00554835"/>
    <w:rsid w:val="00556065"/>
    <w:rsid w:val="00580AB9"/>
    <w:rsid w:val="0059665A"/>
    <w:rsid w:val="005C27F3"/>
    <w:rsid w:val="005D4F42"/>
    <w:rsid w:val="0062683E"/>
    <w:rsid w:val="006970E3"/>
    <w:rsid w:val="006A61B2"/>
    <w:rsid w:val="006E3EF3"/>
    <w:rsid w:val="007210EB"/>
    <w:rsid w:val="00725FAF"/>
    <w:rsid w:val="00755377"/>
    <w:rsid w:val="00765374"/>
    <w:rsid w:val="00795801"/>
    <w:rsid w:val="007C2641"/>
    <w:rsid w:val="00852CB9"/>
    <w:rsid w:val="008643B7"/>
    <w:rsid w:val="00896C6D"/>
    <w:rsid w:val="008A4866"/>
    <w:rsid w:val="008A72E7"/>
    <w:rsid w:val="008B64C7"/>
    <w:rsid w:val="008D12ED"/>
    <w:rsid w:val="00907589"/>
    <w:rsid w:val="00920637"/>
    <w:rsid w:val="00924F07"/>
    <w:rsid w:val="009900D8"/>
    <w:rsid w:val="009C5FF6"/>
    <w:rsid w:val="00A104DC"/>
    <w:rsid w:val="00A1553E"/>
    <w:rsid w:val="00A166B6"/>
    <w:rsid w:val="00A6107E"/>
    <w:rsid w:val="00A67EF5"/>
    <w:rsid w:val="00A76CC9"/>
    <w:rsid w:val="00A77B31"/>
    <w:rsid w:val="00A85366"/>
    <w:rsid w:val="00A90A3E"/>
    <w:rsid w:val="00AA570A"/>
    <w:rsid w:val="00AB6F17"/>
    <w:rsid w:val="00B02519"/>
    <w:rsid w:val="00B72FD7"/>
    <w:rsid w:val="00B83555"/>
    <w:rsid w:val="00B950D1"/>
    <w:rsid w:val="00BB5502"/>
    <w:rsid w:val="00BD4F99"/>
    <w:rsid w:val="00C01F9C"/>
    <w:rsid w:val="00C214A5"/>
    <w:rsid w:val="00C232A9"/>
    <w:rsid w:val="00C240D7"/>
    <w:rsid w:val="00CA09EA"/>
    <w:rsid w:val="00CA6DF1"/>
    <w:rsid w:val="00CD5626"/>
    <w:rsid w:val="00D355D1"/>
    <w:rsid w:val="00D91D39"/>
    <w:rsid w:val="00DA2271"/>
    <w:rsid w:val="00DA79D3"/>
    <w:rsid w:val="00DE0A8F"/>
    <w:rsid w:val="00DE1460"/>
    <w:rsid w:val="00DF79CB"/>
    <w:rsid w:val="00E1795A"/>
    <w:rsid w:val="00E320BA"/>
    <w:rsid w:val="00E33AC1"/>
    <w:rsid w:val="00E561F8"/>
    <w:rsid w:val="00E56C5A"/>
    <w:rsid w:val="00E87BF9"/>
    <w:rsid w:val="00E9461B"/>
    <w:rsid w:val="00EE640F"/>
    <w:rsid w:val="00EF7BD0"/>
    <w:rsid w:val="00F3160B"/>
    <w:rsid w:val="00F35A5E"/>
    <w:rsid w:val="00F40F75"/>
    <w:rsid w:val="00F7735D"/>
    <w:rsid w:val="00FB22EB"/>
    <w:rsid w:val="00FF1E79"/>
    <w:rsid w:val="00FF5A0C"/>
    <w:rsid w:val="00FF6F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A915C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rsid w:val="004C4C68"/>
    <w:pPr>
      <w:ind w:left="720"/>
      <w:contextualSpacing/>
    </w:pPr>
  </w:style>
  <w:style w:type="paragraph" w:styleId="Ballontekst">
    <w:name w:val="Balloon Text"/>
    <w:basedOn w:val="Standaard"/>
    <w:link w:val="BallontekstTeken"/>
    <w:uiPriority w:val="99"/>
    <w:semiHidden/>
    <w:unhideWhenUsed/>
    <w:rsid w:val="0062683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2683E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nieuwe stijl:normal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Server:#MAPPEN:Sjablonen-nieuwe stijl:normal.dot</Template>
  <TotalTime>15</TotalTime>
  <Pages>1</Pages>
  <Words>169</Words>
  <Characters>931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FUNCTIENIVEAUMATRIX FUNCTIEFAMILIE “KEUKEN”: NIVEAU ONDERSCHEIDENDE KENMERKEN (NOK)</vt:lpstr>
    </vt:vector>
  </TitlesOfParts>
  <Company>EVZ Organisatie-adviseurs</Company>
  <LinksUpToDate>false</LinksUpToDate>
  <CharactersWithSpaces>1098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2051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EVZ10</dc:creator>
  <cp:keywords/>
  <cp:lastModifiedBy>EVZ EVZ</cp:lastModifiedBy>
  <cp:revision>11</cp:revision>
  <cp:lastPrinted>2015-10-02T14:13:00Z</cp:lastPrinted>
  <dcterms:created xsi:type="dcterms:W3CDTF">2015-12-09T10:15:00Z</dcterms:created>
  <dcterms:modified xsi:type="dcterms:W3CDTF">2016-10-18T15:01:00Z</dcterms:modified>
</cp:coreProperties>
</file>